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D003FD" w:rsidRDefault="00D003FD" w:rsidP="00D003FD">
      <w:pPr>
        <w:jc w:val="both"/>
        <w:rPr>
          <w:rFonts w:ascii="Arial" w:hAnsi="Arial" w:cs="Arial"/>
          <w:sz w:val="36"/>
          <w:szCs w:val="36"/>
        </w:rPr>
      </w:pPr>
      <w:r w:rsidRPr="00D003FD">
        <w:rPr>
          <w:rFonts w:ascii="Arial" w:hAnsi="Arial" w:cs="Arial"/>
          <w:sz w:val="36"/>
          <w:szCs w:val="36"/>
        </w:rPr>
        <w:t>Durante el periodo reportado no se generó resolución dictada por esta Alcaldía recaída a procedimiento administrativos seguidos en forma de juicio.</w:t>
      </w:r>
    </w:p>
    <w:p w:rsidR="00D003FD" w:rsidRPr="00D003FD" w:rsidRDefault="00D003FD" w:rsidP="00D003FD">
      <w:pPr>
        <w:jc w:val="both"/>
        <w:rPr>
          <w:rFonts w:ascii="Arial" w:hAnsi="Arial" w:cs="Arial"/>
          <w:sz w:val="36"/>
          <w:szCs w:val="36"/>
        </w:rPr>
      </w:pPr>
      <w:r w:rsidRPr="00D003FD">
        <w:rPr>
          <w:rFonts w:ascii="Arial" w:hAnsi="Arial" w:cs="Arial"/>
          <w:sz w:val="36"/>
          <w:szCs w:val="36"/>
        </w:rPr>
        <w:t>Durante el periodo reportado no se generó resolución dictada por esta Alcaldía recaída a procedimiento administrativos seguidos en forma de juicio a las actas de visitas de verificación ordenadas en aras de la competencia de esta autoridad.</w:t>
      </w:r>
    </w:p>
    <w:p w:rsidR="00D003FD" w:rsidRPr="00D003FD" w:rsidRDefault="00D003FD" w:rsidP="00D003FD">
      <w:pPr>
        <w:jc w:val="both"/>
        <w:rPr>
          <w:rFonts w:ascii="Arial" w:hAnsi="Arial" w:cs="Arial"/>
          <w:sz w:val="36"/>
          <w:szCs w:val="36"/>
        </w:rPr>
      </w:pPr>
      <w:r w:rsidRPr="00D003FD">
        <w:rPr>
          <w:rFonts w:ascii="Arial" w:hAnsi="Arial" w:cs="Arial"/>
          <w:sz w:val="36"/>
          <w:szCs w:val="36"/>
        </w:rPr>
        <w:t xml:space="preserve">De conformidad con las publicaciones en la Gaceta Oficial de la Ciudad de México, de los Acuerdos por los que se Suspenden los Términos y Plazos Inherentes a los Procedimientos Administrativos, Trámites y Servicios de la Administración Pública y Alcaldías de la Ciudad de México, para Prevenir y Controlar la Propagación del </w:t>
      </w:r>
      <w:proofErr w:type="spellStart"/>
      <w:r w:rsidRPr="00D003FD">
        <w:rPr>
          <w:rFonts w:ascii="Arial" w:hAnsi="Arial" w:cs="Arial"/>
          <w:sz w:val="36"/>
          <w:szCs w:val="36"/>
        </w:rPr>
        <w:t>Covid</w:t>
      </w:r>
      <w:proofErr w:type="spellEnd"/>
      <w:r w:rsidRPr="00D003FD">
        <w:rPr>
          <w:rFonts w:ascii="Arial" w:hAnsi="Arial" w:cs="Arial"/>
          <w:sz w:val="36"/>
          <w:szCs w:val="36"/>
        </w:rPr>
        <w:t>–19, No. 487 Bis, de fecha 4 de diciembre de 2020; No. 515 Bis, de fecha 15 de enero de 2021, así como el Aviso por el que se modifica el Décimo Segundo Acuerdo por el que se suspenden los términos y plazos inherentes a los Procedimientos Administrativos, Trámites y Servicios de la Administración Pública y Alcaldías de la Ciudad de México, para prevenir y controlar la propagación del COVID–19, el cual amplía su vigencia del 30 de enero al 15 de febrero de 2021, de fecha 29 de enero de 2021; No. 534 Bis, de fecha 12 de febrero de 2021; No. 539 Bis, de fecha 19 de febrero de 2021 y la No. 544 Bis, de fecha 26 de febrero de 2021.   y subsiguientes al mes de junio 2021.</w:t>
      </w:r>
      <w:bookmarkStart w:id="0" w:name="_GoBack"/>
      <w:bookmarkEnd w:id="0"/>
    </w:p>
    <w:sectPr w:rsidR="00D003FD" w:rsidRPr="00D00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FD"/>
    <w:rsid w:val="00D003FD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CA16"/>
  <w15:chartTrackingRefBased/>
  <w15:docId w15:val="{53F99550-9C76-4707-BEEF-525FFC10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2021-07-27T16:04:00Z</dcterms:created>
  <dcterms:modified xsi:type="dcterms:W3CDTF">2021-07-27T16:06:00Z</dcterms:modified>
</cp:coreProperties>
</file>