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4530FB5E" w:rsidR="002B2669" w:rsidRPr="002B2669" w:rsidRDefault="00350EB0" w:rsidP="000E066C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</w:t>
      </w:r>
      <w:r w:rsidR="000E066C">
        <w:rPr>
          <w:rFonts w:ascii="Arial" w:eastAsia="Calibri" w:hAnsi="Arial" w:cs="Arial"/>
          <w:b/>
          <w:sz w:val="24"/>
          <w:szCs w:val="24"/>
        </w:rPr>
        <w:t>hubo a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>signaciones que los entes públicos destinan por causa de utilidad social para otorgar donativos a instituciones no lucrativas destinadas a actividades educativas, culturales, de salud, de investigación científica, de aplicación de nuevas tecnologías o de beneficencia, en términos de las disposiciones aplicables</w:t>
      </w:r>
      <w:r w:rsidR="000E066C">
        <w:rPr>
          <w:rFonts w:ascii="Arial" w:eastAsia="Calibri" w:hAnsi="Arial" w:cs="Arial"/>
          <w:b/>
          <w:sz w:val="24"/>
          <w:szCs w:val="24"/>
        </w:rPr>
        <w:t>.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0E066C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2020-07-22T19:31:00Z</dcterms:created>
  <dcterms:modified xsi:type="dcterms:W3CDTF">2020-07-22T19:33:00Z</dcterms:modified>
</cp:coreProperties>
</file>