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Ex1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C9" w:rsidRDefault="00126521" w:rsidP="00AD48A0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360E7">
        <w:rPr>
          <w:b/>
        </w:rPr>
        <w:t>“COMUNIDAD HUEHUEYOTL</w:t>
      </w:r>
      <w:r w:rsidR="00E32C46">
        <w:rPr>
          <w:b/>
        </w:rPr>
        <w:t xml:space="preserve">”, </w:t>
      </w:r>
      <w:r w:rsidR="00E32C46" w:rsidRPr="001F1996">
        <w:rPr>
          <w:b/>
        </w:rPr>
        <w:t>APOYO</w:t>
      </w:r>
      <w:r w:rsidR="00867586" w:rsidRPr="001F1996">
        <w:rPr>
          <w:b/>
        </w:rPr>
        <w:t xml:space="preserve"> A COLECTIVOS DE PERSONAS ADULTAS MAYORES 2019</w:t>
      </w:r>
    </w:p>
    <w:p w:rsidR="00F40259" w:rsidRDefault="00F40259" w:rsidP="00AD48A0">
      <w:pPr>
        <w:spacing w:line="360" w:lineRule="auto"/>
        <w:jc w:val="both"/>
      </w:pPr>
      <w:r>
        <w:t>Para el año 2019, se destinaron $1, 035,000.00 (Un millón treinta y cinco mil pesos 00/100 M.N.), por un monto unitario anual asignado a cada uno de los 74 Colectivos de Personas Adultas Mayores, beneficiados por el programa de la siguiente manera:</w:t>
      </w:r>
    </w:p>
    <w:p w:rsidR="00F40259" w:rsidRDefault="00F40259" w:rsidP="00AD48A0">
      <w:pPr>
        <w:spacing w:line="360" w:lineRule="auto"/>
        <w:jc w:val="both"/>
      </w:pPr>
      <w:r>
        <w:t xml:space="preserve">• 5 Colectivos de Personas Adultas Mayores: $17,000.00 (diecisiete mil pesos 00/100 M.N.) Dos exhibiciones una en mayo de 2019 por el 50 por ciento y la segunda en agosto de 2019 del restante 50 por ciento. </w:t>
      </w:r>
    </w:p>
    <w:p w:rsidR="00F40259" w:rsidRDefault="00F40259" w:rsidP="00AD48A0">
      <w:pPr>
        <w:spacing w:line="360" w:lineRule="auto"/>
        <w:jc w:val="both"/>
      </w:pPr>
      <w:r>
        <w:t xml:space="preserve">• 6 Colectivos de Personas Adultas Mayores: $16,000.00 (dieciséis mil pesos 00/100 M.N.) Dos exhibiciones una en mayo de 2019 por el 50 por ciento y la segunda en agosto de 2019 del restante 50 por ciento. </w:t>
      </w:r>
    </w:p>
    <w:p w:rsidR="00F40259" w:rsidRDefault="00F40259" w:rsidP="00AD48A0">
      <w:pPr>
        <w:spacing w:line="360" w:lineRule="auto"/>
        <w:jc w:val="both"/>
      </w:pPr>
      <w:r>
        <w:t xml:space="preserve">• 7 Colectivos de Personas Adultas Mayores: $14,000.00 (catorce mil pesos 00/100 M.N.) Dos exhibiciones una en mayo de 2019 por el 50 por ciento y la segunda en agosto de 2019 del restante 50 por ciento. </w:t>
      </w:r>
    </w:p>
    <w:p w:rsidR="00F40259" w:rsidRDefault="00F40259" w:rsidP="00AD48A0">
      <w:pPr>
        <w:spacing w:line="360" w:lineRule="auto"/>
        <w:jc w:val="both"/>
      </w:pPr>
      <w:r>
        <w:t>• 21 Colectivos de Personas Adultas Mayores: $12,000.00 (doce mil pesos 00/100 M.N.) Dos exhibiciones una en mayo de 2019 por el 50 por ciento y la segunda en agosto de 2019 del restante 50 por ciento.</w:t>
      </w:r>
    </w:p>
    <w:p w:rsidR="00F40259" w:rsidRDefault="00F40259" w:rsidP="00AD48A0">
      <w:pPr>
        <w:spacing w:line="360" w:lineRule="auto"/>
        <w:jc w:val="both"/>
      </w:pPr>
      <w:r>
        <w:t xml:space="preserve"> • 35 Colectivos de Personas Adultas Mayores: $10,000.00 (diez mil pesos 00/100 M.N.) a cada colectivo, que se en Dos exhibiciones una en mayo de 2019 por el 50 por ciento y la segunda en agosto de 2019 del restante 50 por ciento</w:t>
      </w:r>
    </w:p>
    <w:p w:rsidR="004A2EA4" w:rsidRDefault="004A2EA4" w:rsidP="00AD48A0">
      <w:pPr>
        <w:spacing w:line="360" w:lineRule="auto"/>
        <w:jc w:val="center"/>
        <w:rPr>
          <w:b/>
        </w:rPr>
      </w:pPr>
    </w:p>
    <w:p w:rsidR="004A2EA4" w:rsidRPr="003A3955" w:rsidRDefault="004A2EA4" w:rsidP="00126521">
      <w:pPr>
        <w:spacing w:line="360" w:lineRule="auto"/>
        <w:jc w:val="center"/>
        <w:rPr>
          <w:b/>
        </w:rPr>
      </w:pPr>
      <w:r w:rsidRPr="004A2EA4">
        <w:rPr>
          <w:b/>
        </w:rPr>
        <w:t>CARACTERÍSTICAS DE LOS BENEFICIARIOS DEL EJERCICIO 2019</w:t>
      </w:r>
    </w:p>
    <w:p w:rsidR="00264108" w:rsidRDefault="00264108" w:rsidP="00AD48A0">
      <w:pPr>
        <w:spacing w:line="360" w:lineRule="auto"/>
        <w:jc w:val="center"/>
      </w:pPr>
      <w:r>
        <w:t>En total, en el programa fueron beneficiados un total de 2431</w:t>
      </w:r>
      <w:r w:rsidRPr="00264108">
        <w:t xml:space="preserve"> </w:t>
      </w:r>
      <w:r>
        <w:t xml:space="preserve">Personas Mayores, de los cuales 1922 fueron mujeres y 509 </w:t>
      </w:r>
      <w:r w:rsidR="00235346">
        <w:t xml:space="preserve">hombres. Cabe señalar que, </w:t>
      </w:r>
      <w:r w:rsidR="009E6ED6">
        <w:t xml:space="preserve">de los </w:t>
      </w:r>
      <w:r w:rsidR="00B50C30">
        <w:t>74 colectivos beneficiados y los otros 61 colectivos</w:t>
      </w:r>
      <w:r w:rsidR="009E6ED6">
        <w:t xml:space="preserve"> inscritos</w:t>
      </w:r>
      <w:r w:rsidR="00B50C30">
        <w:t xml:space="preserve"> en la Jefatura de unidad </w:t>
      </w:r>
      <w:r w:rsidR="009E6ED6">
        <w:t>están conformados</w:t>
      </w:r>
      <w:r w:rsidR="00B50C30">
        <w:t xml:space="preserve"> en su gran mayoría</w:t>
      </w:r>
      <w:r w:rsidR="009E6ED6">
        <w:t xml:space="preserve"> por </w:t>
      </w:r>
      <w:r w:rsidR="00B50C30">
        <w:lastRenderedPageBreak/>
        <w:t>mujeres, existe</w:t>
      </w:r>
      <w:r w:rsidR="009E6ED6">
        <w:t xml:space="preserve"> una baja p</w:t>
      </w:r>
      <w:r w:rsidR="00B50C30">
        <w:t>articipación</w:t>
      </w:r>
      <w:r w:rsidR="00281AC7">
        <w:t xml:space="preserve"> de hombres en los colectivos.</w:t>
      </w:r>
      <w:r w:rsidR="004D3463" w:rsidRPr="004D3463">
        <w:rPr>
          <w:noProof/>
          <w:highlight w:val="darkMagenta"/>
          <w:shd w:val="clear" w:color="auto" w:fill="FF0066"/>
          <w:lang w:eastAsia="es-MX"/>
        </w:rPr>
        <w:t xml:space="preserve"> </w:t>
      </w:r>
      <w:r w:rsidR="004D3463" w:rsidRPr="002A4738">
        <w:rPr>
          <w:noProof/>
          <w:highlight w:val="darkMagenta"/>
          <w:shd w:val="clear" w:color="auto" w:fill="FF0066"/>
          <w:lang w:eastAsia="es-MX"/>
        </w:rPr>
        <w:drawing>
          <wp:inline distT="0" distB="0" distL="0" distR="0" wp14:anchorId="3F3AB42C" wp14:editId="4A1EC1F8">
            <wp:extent cx="4305300" cy="1771650"/>
            <wp:effectExtent l="0" t="1905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4E84" w:rsidRDefault="00414E84" w:rsidP="00AD48A0">
      <w:pPr>
        <w:spacing w:line="360" w:lineRule="auto"/>
        <w:jc w:val="center"/>
        <w:rPr>
          <w:b/>
        </w:rPr>
      </w:pPr>
    </w:p>
    <w:p w:rsidR="00693F00" w:rsidRDefault="00693F00" w:rsidP="00AD48A0">
      <w:pPr>
        <w:spacing w:line="360" w:lineRule="auto"/>
        <w:jc w:val="both"/>
      </w:pPr>
      <w:r>
        <w:t>Respecto a las edades</w:t>
      </w:r>
      <w:r w:rsidR="00C42DED">
        <w:t xml:space="preserve"> de hombres y </w:t>
      </w:r>
      <w:r w:rsidR="00A45F2B">
        <w:t>mujeres,</w:t>
      </w:r>
      <w:r>
        <w:t xml:space="preserve"> estás oscilan entre los 60 años y 100 años. La mediana de esta población fue de 78, mientras que la moda de 65 años y el promedio de edad de 78 años.</w:t>
      </w:r>
    </w:p>
    <w:tbl>
      <w:tblPr>
        <w:tblW w:w="958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200"/>
        <w:gridCol w:w="1000"/>
        <w:gridCol w:w="1200"/>
        <w:gridCol w:w="400"/>
        <w:gridCol w:w="1200"/>
        <w:gridCol w:w="1200"/>
        <w:gridCol w:w="1120"/>
        <w:gridCol w:w="1200"/>
      </w:tblGrid>
      <w:tr w:rsidR="00D46B08" w:rsidRPr="00555666" w:rsidTr="00555666">
        <w:trPr>
          <w:trHeight w:val="315"/>
        </w:trPr>
        <w:tc>
          <w:tcPr>
            <w:tcW w:w="4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6B08" w:rsidRPr="00555666" w:rsidRDefault="006320A2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EDADES DE LAS PARTICPANTES MUJERES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6B08" w:rsidRPr="00555666" w:rsidRDefault="006320A2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EDADES DE LOS PARTICIPANTES </w:t>
            </w:r>
            <w:r w:rsidR="00CC2614" w:rsidRPr="00555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HOMBRES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N°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D46B08" w:rsidRPr="00555666" w:rsidTr="00555666">
        <w:trPr>
          <w:trHeight w:val="23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bookmarkStart w:id="0" w:name="_GoBack"/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D46B08" w:rsidRPr="00555666" w:rsidTr="00555666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D46B08" w:rsidRPr="00555666" w:rsidTr="00555666">
        <w:trPr>
          <w:trHeight w:val="58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74" w:rsidRPr="00555666" w:rsidRDefault="00B61C74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B08" w:rsidRPr="00555666" w:rsidRDefault="00D46B08" w:rsidP="00AD48A0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B08" w:rsidRPr="00555666" w:rsidRDefault="00D46B08" w:rsidP="00AD48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996F37" w:rsidRDefault="00996F37" w:rsidP="00AD48A0">
      <w:pPr>
        <w:spacing w:line="360" w:lineRule="auto"/>
      </w:pPr>
    </w:p>
    <w:p w:rsidR="00B50C30" w:rsidRDefault="00B50C30" w:rsidP="00AD48A0">
      <w:pPr>
        <w:spacing w:line="360" w:lineRule="auto"/>
        <w:jc w:val="both"/>
      </w:pPr>
      <w:r>
        <w:lastRenderedPageBreak/>
        <w:t>La</w:t>
      </w:r>
      <w:r w:rsidR="00661EE1">
        <w:t xml:space="preserve"> escolaridad más abundante </w:t>
      </w:r>
      <w:r>
        <w:t>es</w:t>
      </w:r>
      <w:r w:rsidR="00661EE1">
        <w:t>tá en la primaria</w:t>
      </w:r>
      <w:r w:rsidR="00281AC7">
        <w:t xml:space="preserve"> con 820 personas en este nivel y 281</w:t>
      </w:r>
      <w:r w:rsidR="00661EE1">
        <w:t xml:space="preserve"> </w:t>
      </w:r>
      <w:r w:rsidR="00281AC7">
        <w:t xml:space="preserve">en </w:t>
      </w:r>
      <w:r w:rsidR="00661EE1">
        <w:t xml:space="preserve">secundaria, mientras </w:t>
      </w:r>
      <w:r w:rsidR="00281AC7">
        <w:t xml:space="preserve">que 237 personas que representan el </w:t>
      </w:r>
      <w:r w:rsidR="00661EE1">
        <w:t xml:space="preserve">9.7% no cursaron ningún </w:t>
      </w:r>
      <w:r w:rsidR="00281AC7">
        <w:t>tipo de escolaridad.</w:t>
      </w:r>
      <w:r w:rsidR="00DA3D8B">
        <w:t xml:space="preserve"> Aquellas personas que </w:t>
      </w:r>
      <w:r w:rsidR="0025250D">
        <w:t xml:space="preserve">tuvieron la carencia de alfabetización y escolaridad refiere inevitablemente a los grupos sociales más desfavorecidos, cabe señalar que </w:t>
      </w:r>
      <w:r w:rsidR="00547671">
        <w:t xml:space="preserve">187 fueron mujeres y 50 </w:t>
      </w:r>
      <w:r w:rsidR="007F462D">
        <w:t xml:space="preserve">hombres, </w:t>
      </w:r>
      <w:r w:rsidR="0025250D">
        <w:t xml:space="preserve">mientras que </w:t>
      </w:r>
      <w:r w:rsidR="00DA3D8B">
        <w:t>el 38% habitan en la zona5, el 28% en la zona 3, el 26% en la zona1, el 5% en la zona 2 y el 3% en la</w:t>
      </w:r>
      <w:r w:rsidR="005A413F">
        <w:t xml:space="preserve"> zona 4 de la </w:t>
      </w:r>
      <w:r w:rsidR="00547671">
        <w:t>Alcaldía Tlalpan.</w:t>
      </w:r>
    </w:p>
    <w:p w:rsidR="00F20C18" w:rsidRDefault="000353E4" w:rsidP="00AD48A0">
      <w:pPr>
        <w:spacing w:line="360" w:lineRule="auto"/>
        <w:jc w:val="both"/>
      </w:pPr>
      <w:r>
        <w:t xml:space="preserve">Se observó que solo el 7.1 de </w:t>
      </w:r>
      <w:r w:rsidR="00C63714">
        <w:t>los beneficiados pudo acceder al medio superior</w:t>
      </w:r>
      <w:r w:rsidR="000275AF">
        <w:t>, mi</w:t>
      </w:r>
      <w:r w:rsidR="0075007D">
        <w:t>s</w:t>
      </w:r>
      <w:r w:rsidR="000275AF">
        <w:t>ma</w:t>
      </w:r>
      <w:r w:rsidR="00EB23B3">
        <w:t xml:space="preserve"> que actualmente </w:t>
      </w:r>
      <w:r w:rsidR="000275AF">
        <w:t>contempla hasta el bachillerato o preparatoria.</w:t>
      </w:r>
    </w:p>
    <w:p w:rsidR="006024D0" w:rsidRDefault="006024D0" w:rsidP="00AD48A0">
      <w:pPr>
        <w:spacing w:line="360" w:lineRule="auto"/>
        <w:jc w:val="both"/>
      </w:pPr>
      <w:r>
        <w:rPr>
          <w:noProof/>
          <w:lang w:eastAsia="es-MX"/>
        </w:rPr>
        <w:drawing>
          <wp:inline distT="0" distB="0" distL="0" distR="0" wp14:anchorId="6A3D36FA" wp14:editId="49730AC2">
            <wp:extent cx="4953000" cy="2976245"/>
            <wp:effectExtent l="0" t="0" r="0" b="1460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0C18" w:rsidRPr="007E5C4D" w:rsidRDefault="00F20C18" w:rsidP="00AD48A0">
      <w:pPr>
        <w:spacing w:line="360" w:lineRule="auto"/>
        <w:jc w:val="both"/>
      </w:pPr>
      <w:r>
        <w:t>Respecto a la nacionalidad, 5 tienen nacionalidad extranjera y todos los demás tienen nacionalidad mexicana.</w:t>
      </w:r>
    </w:p>
    <w:p w:rsidR="00F6152C" w:rsidRDefault="00E17713" w:rsidP="00AD48A0">
      <w:pPr>
        <w:tabs>
          <w:tab w:val="left" w:pos="2925"/>
        </w:tabs>
        <w:spacing w:line="360" w:lineRule="auto"/>
      </w:pPr>
      <w:r w:rsidRPr="009C344C">
        <w:rPr>
          <w:noProof/>
          <w:shd w:val="clear" w:color="auto" w:fill="A31FB1"/>
          <w:lang w:eastAsia="es-MX"/>
        </w:rPr>
        <mc:AlternateContent>
          <mc:Choice Requires="cx1">
            <w:drawing>
              <wp:inline distT="0" distB="0" distL="0" distR="0" wp14:anchorId="0F9FC36C" wp14:editId="7F18BB35">
                <wp:extent cx="5657850" cy="1895475"/>
                <wp:effectExtent l="0" t="0" r="0" b="9525"/>
                <wp:docPr id="3" name="Gráfico 3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9"/>
                  </a:graphicData>
                </a:graphic>
              </wp:inline>
            </w:drawing>
          </mc:Choice>
          <mc:Fallback>
            <w:drawing>
              <wp:inline distT="0" distB="0" distL="0" distR="0" wp14:anchorId="0F9FC36C" wp14:editId="7F18BB35">
                <wp:extent cx="5657850" cy="1895475"/>
                <wp:effectExtent l="0" t="0" r="0" b="9525"/>
                <wp:docPr id="3" name="Gráfico 3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áfico 3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0" cy="189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63A05" w:rsidRDefault="00A63A05" w:rsidP="00AD48A0">
      <w:pPr>
        <w:spacing w:line="360" w:lineRule="auto"/>
      </w:pPr>
      <w:r>
        <w:lastRenderedPageBreak/>
        <w:t xml:space="preserve">Del total de los beneficiados del programa, 13 se reconocieron como indígenas y hablantes de una lengua indígena, 4 hablan Mixteco, 5 náhuatl, 2 Otomí y 2 Zapoteca.  </w:t>
      </w:r>
    </w:p>
    <w:p w:rsidR="00E97670" w:rsidRDefault="00C01ABC" w:rsidP="00AD48A0">
      <w:pPr>
        <w:spacing w:line="360" w:lineRule="auto"/>
      </w:pPr>
      <w:r>
        <w:rPr>
          <w:noProof/>
          <w:lang w:eastAsia="es-MX"/>
        </w:rPr>
        <w:drawing>
          <wp:inline distT="0" distB="0" distL="0" distR="0" wp14:anchorId="0EB26EB7" wp14:editId="47FA43A7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6D8D" w:rsidRDefault="009C6D8D" w:rsidP="00AD48A0">
      <w:pPr>
        <w:spacing w:line="360" w:lineRule="auto"/>
      </w:pPr>
    </w:p>
    <w:p w:rsidR="002A4738" w:rsidRDefault="00BE431A" w:rsidP="00AD48A0">
      <w:pPr>
        <w:tabs>
          <w:tab w:val="left" w:pos="3345"/>
        </w:tabs>
        <w:spacing w:line="360" w:lineRule="auto"/>
      </w:pPr>
      <w:r>
        <w:t>Además 366</w:t>
      </w:r>
      <w:r w:rsidR="00CB1E99">
        <w:t xml:space="preserve"> </w:t>
      </w:r>
      <w:r w:rsidR="00555666">
        <w:t>persona</w:t>
      </w:r>
      <w:r w:rsidR="00CB1E99">
        <w:t xml:space="preserve">s mayores viven en colonias de </w:t>
      </w:r>
      <w:r>
        <w:t>MUY BAJO</w:t>
      </w:r>
      <w:r w:rsidR="004056D2">
        <w:t xml:space="preserve"> Índice de Desarrollo S</w:t>
      </w:r>
      <w:r w:rsidR="00CB1E99">
        <w:t>ocial</w:t>
      </w:r>
      <w:r w:rsidR="00555666">
        <w:t>,</w:t>
      </w:r>
      <w:r w:rsidR="004056D2">
        <w:t xml:space="preserve"> que representa el 15 %</w:t>
      </w:r>
      <w:r w:rsidR="00555666">
        <w:t>;</w:t>
      </w:r>
      <w:r w:rsidR="00CB1E99">
        <w:t xml:space="preserve"> 1204 </w:t>
      </w:r>
      <w:r w:rsidR="00555666">
        <w:t xml:space="preserve">personas mayores habitan </w:t>
      </w:r>
      <w:r w:rsidR="00CB1E99">
        <w:t xml:space="preserve">en </w:t>
      </w:r>
      <w:r w:rsidR="00555666">
        <w:t xml:space="preserve">colonias de </w:t>
      </w:r>
      <w:r>
        <w:t>BAJO</w:t>
      </w:r>
      <w:r w:rsidR="000751EE">
        <w:t xml:space="preserve"> </w:t>
      </w:r>
      <w:r w:rsidR="00555666">
        <w:t xml:space="preserve">IDS, </w:t>
      </w:r>
      <w:r w:rsidR="000751EE">
        <w:t>lo cual representa el 49%</w:t>
      </w:r>
      <w:r w:rsidR="001412B7">
        <w:t>;</w:t>
      </w:r>
      <w:r>
        <w:t xml:space="preserve"> 403 </w:t>
      </w:r>
      <w:r w:rsidR="00555666">
        <w:t xml:space="preserve">personas mayores habitan </w:t>
      </w:r>
      <w:r>
        <w:t xml:space="preserve">en </w:t>
      </w:r>
      <w:r w:rsidR="00555666">
        <w:t xml:space="preserve">colonias de </w:t>
      </w:r>
      <w:r>
        <w:t>MEDIO</w:t>
      </w:r>
      <w:r w:rsidR="000751EE">
        <w:t xml:space="preserve"> </w:t>
      </w:r>
      <w:r w:rsidR="00555666">
        <w:t xml:space="preserve">IDS, </w:t>
      </w:r>
      <w:r w:rsidR="000751EE">
        <w:t>qu</w:t>
      </w:r>
      <w:r w:rsidR="001412B7">
        <w:t>e representa el 17 %;</w:t>
      </w:r>
      <w:r w:rsidR="000303B3">
        <w:t xml:space="preserve"> </w:t>
      </w:r>
      <w:r w:rsidR="006718DE">
        <w:t>4</w:t>
      </w:r>
      <w:r>
        <w:t>4</w:t>
      </w:r>
      <w:r w:rsidR="004A5886">
        <w:t>0</w:t>
      </w:r>
      <w:r w:rsidR="001412B7">
        <w:t xml:space="preserve"> PERSONAS</w:t>
      </w:r>
      <w:r>
        <w:t xml:space="preserve"> en ALTO</w:t>
      </w:r>
      <w:r w:rsidR="000751EE">
        <w:t xml:space="preserve"> que</w:t>
      </w:r>
      <w:r w:rsidR="002A4738">
        <w:t xml:space="preserve"> </w:t>
      </w:r>
      <w:r w:rsidR="000751EE">
        <w:t>representa el 17% y 51 en MUY ALTO que son el 2%.</w:t>
      </w:r>
      <w:r w:rsidR="0039400F">
        <w:t xml:space="preserve"> </w:t>
      </w:r>
    </w:p>
    <w:p w:rsidR="00D93259" w:rsidRDefault="0039400F" w:rsidP="00126521">
      <w:pPr>
        <w:tabs>
          <w:tab w:val="left" w:pos="3345"/>
        </w:tabs>
        <w:spacing w:line="360" w:lineRule="auto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A8328BC" wp14:editId="34BE866B">
            <wp:extent cx="5791200" cy="295275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D93259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4C" w:rsidRDefault="001F194C" w:rsidP="0019266B">
      <w:pPr>
        <w:spacing w:after="0" w:line="240" w:lineRule="auto"/>
      </w:pPr>
      <w:r>
        <w:separator/>
      </w:r>
    </w:p>
  </w:endnote>
  <w:endnote w:type="continuationSeparator" w:id="0">
    <w:p w:rsidR="001F194C" w:rsidRDefault="001F194C" w:rsidP="0019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66" w:rsidRDefault="00555666">
    <w:pPr>
      <w:pStyle w:val="Piedepgina"/>
    </w:pPr>
  </w:p>
  <w:p w:rsidR="00555666" w:rsidRDefault="00555666">
    <w:pPr>
      <w:pStyle w:val="Piedepgina"/>
    </w:pPr>
  </w:p>
  <w:p w:rsidR="00555666" w:rsidRDefault="00555666">
    <w:pPr>
      <w:pStyle w:val="Piedepgina"/>
    </w:pPr>
  </w:p>
  <w:p w:rsidR="00555666" w:rsidRDefault="005556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4C" w:rsidRDefault="001F194C" w:rsidP="0019266B">
      <w:pPr>
        <w:spacing w:after="0" w:line="240" w:lineRule="auto"/>
      </w:pPr>
      <w:r>
        <w:separator/>
      </w:r>
    </w:p>
  </w:footnote>
  <w:footnote w:type="continuationSeparator" w:id="0">
    <w:p w:rsidR="001F194C" w:rsidRDefault="001F194C" w:rsidP="00192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6A"/>
    <w:rsid w:val="00007B0C"/>
    <w:rsid w:val="0001748D"/>
    <w:rsid w:val="000179C8"/>
    <w:rsid w:val="00017D87"/>
    <w:rsid w:val="00021971"/>
    <w:rsid w:val="000275AF"/>
    <w:rsid w:val="000303B3"/>
    <w:rsid w:val="000353E4"/>
    <w:rsid w:val="000401BA"/>
    <w:rsid w:val="00047840"/>
    <w:rsid w:val="00057979"/>
    <w:rsid w:val="000751EE"/>
    <w:rsid w:val="00080B57"/>
    <w:rsid w:val="000837C3"/>
    <w:rsid w:val="0009078B"/>
    <w:rsid w:val="000951B0"/>
    <w:rsid w:val="000B2632"/>
    <w:rsid w:val="000B2DA3"/>
    <w:rsid w:val="000C65AA"/>
    <w:rsid w:val="000D184C"/>
    <w:rsid w:val="000F010D"/>
    <w:rsid w:val="000F21F7"/>
    <w:rsid w:val="00101356"/>
    <w:rsid w:val="00103B27"/>
    <w:rsid w:val="00126521"/>
    <w:rsid w:val="00127715"/>
    <w:rsid w:val="001412B7"/>
    <w:rsid w:val="00143008"/>
    <w:rsid w:val="001450F2"/>
    <w:rsid w:val="001914C3"/>
    <w:rsid w:val="0019266B"/>
    <w:rsid w:val="001B3BA9"/>
    <w:rsid w:val="001C358A"/>
    <w:rsid w:val="001E6658"/>
    <w:rsid w:val="001F194C"/>
    <w:rsid w:val="001F1996"/>
    <w:rsid w:val="001F69C9"/>
    <w:rsid w:val="00203F15"/>
    <w:rsid w:val="00222539"/>
    <w:rsid w:val="0022288B"/>
    <w:rsid w:val="00233CF7"/>
    <w:rsid w:val="00235346"/>
    <w:rsid w:val="00242B6A"/>
    <w:rsid w:val="00251581"/>
    <w:rsid w:val="0025250D"/>
    <w:rsid w:val="00252F71"/>
    <w:rsid w:val="00264108"/>
    <w:rsid w:val="00281AC7"/>
    <w:rsid w:val="00285D77"/>
    <w:rsid w:val="002A1BA6"/>
    <w:rsid w:val="002A4738"/>
    <w:rsid w:val="002C177A"/>
    <w:rsid w:val="002E00DA"/>
    <w:rsid w:val="002F1DB6"/>
    <w:rsid w:val="002F1FA1"/>
    <w:rsid w:val="002F3645"/>
    <w:rsid w:val="00303DDA"/>
    <w:rsid w:val="0032023E"/>
    <w:rsid w:val="00325270"/>
    <w:rsid w:val="00350922"/>
    <w:rsid w:val="003618DA"/>
    <w:rsid w:val="0039400F"/>
    <w:rsid w:val="003A2B87"/>
    <w:rsid w:val="003A3955"/>
    <w:rsid w:val="003C7382"/>
    <w:rsid w:val="003D1582"/>
    <w:rsid w:val="003D519B"/>
    <w:rsid w:val="003E0623"/>
    <w:rsid w:val="004056D2"/>
    <w:rsid w:val="00407E7B"/>
    <w:rsid w:val="004120C7"/>
    <w:rsid w:val="00414E84"/>
    <w:rsid w:val="004262D9"/>
    <w:rsid w:val="004359BC"/>
    <w:rsid w:val="00437E58"/>
    <w:rsid w:val="00440ACD"/>
    <w:rsid w:val="00444160"/>
    <w:rsid w:val="004457FC"/>
    <w:rsid w:val="00456D2C"/>
    <w:rsid w:val="004615EF"/>
    <w:rsid w:val="00483F7F"/>
    <w:rsid w:val="0049221F"/>
    <w:rsid w:val="004A2659"/>
    <w:rsid w:val="004A2EA4"/>
    <w:rsid w:val="004A5886"/>
    <w:rsid w:val="004A7ABC"/>
    <w:rsid w:val="004B5448"/>
    <w:rsid w:val="004D3463"/>
    <w:rsid w:val="004E081A"/>
    <w:rsid w:val="004E51F5"/>
    <w:rsid w:val="004E65F6"/>
    <w:rsid w:val="004E7BEC"/>
    <w:rsid w:val="004F50D7"/>
    <w:rsid w:val="004F62A7"/>
    <w:rsid w:val="00502DB9"/>
    <w:rsid w:val="00506408"/>
    <w:rsid w:val="00534909"/>
    <w:rsid w:val="00547671"/>
    <w:rsid w:val="00555666"/>
    <w:rsid w:val="00562961"/>
    <w:rsid w:val="00565FBB"/>
    <w:rsid w:val="005952B5"/>
    <w:rsid w:val="00597043"/>
    <w:rsid w:val="005A2262"/>
    <w:rsid w:val="005A413F"/>
    <w:rsid w:val="005B3D61"/>
    <w:rsid w:val="005D0A0B"/>
    <w:rsid w:val="005D368B"/>
    <w:rsid w:val="005E0735"/>
    <w:rsid w:val="005E2B3A"/>
    <w:rsid w:val="005E6C9A"/>
    <w:rsid w:val="006024D0"/>
    <w:rsid w:val="00611F8E"/>
    <w:rsid w:val="00617281"/>
    <w:rsid w:val="00627BC7"/>
    <w:rsid w:val="006320A2"/>
    <w:rsid w:val="00635547"/>
    <w:rsid w:val="00641B4D"/>
    <w:rsid w:val="00661EE1"/>
    <w:rsid w:val="006718DE"/>
    <w:rsid w:val="00693F00"/>
    <w:rsid w:val="006A2B21"/>
    <w:rsid w:val="006C1592"/>
    <w:rsid w:val="006C2A6C"/>
    <w:rsid w:val="006D089D"/>
    <w:rsid w:val="006D5355"/>
    <w:rsid w:val="006F0925"/>
    <w:rsid w:val="00702366"/>
    <w:rsid w:val="007365A1"/>
    <w:rsid w:val="00746F81"/>
    <w:rsid w:val="0075007D"/>
    <w:rsid w:val="00753505"/>
    <w:rsid w:val="00763AFC"/>
    <w:rsid w:val="0076665E"/>
    <w:rsid w:val="00777454"/>
    <w:rsid w:val="0079505F"/>
    <w:rsid w:val="00797BDB"/>
    <w:rsid w:val="007B24AD"/>
    <w:rsid w:val="007C3A84"/>
    <w:rsid w:val="007C57E9"/>
    <w:rsid w:val="007E359E"/>
    <w:rsid w:val="007E5C4D"/>
    <w:rsid w:val="007E7E27"/>
    <w:rsid w:val="007E7F44"/>
    <w:rsid w:val="007F462D"/>
    <w:rsid w:val="008055C4"/>
    <w:rsid w:val="00807F89"/>
    <w:rsid w:val="00822568"/>
    <w:rsid w:val="008357CE"/>
    <w:rsid w:val="00847A2E"/>
    <w:rsid w:val="00867586"/>
    <w:rsid w:val="0088420A"/>
    <w:rsid w:val="0088572F"/>
    <w:rsid w:val="00890BFC"/>
    <w:rsid w:val="008B10B1"/>
    <w:rsid w:val="008C20A7"/>
    <w:rsid w:val="008E6990"/>
    <w:rsid w:val="008F6631"/>
    <w:rsid w:val="009060C7"/>
    <w:rsid w:val="009274F4"/>
    <w:rsid w:val="009360E7"/>
    <w:rsid w:val="00942637"/>
    <w:rsid w:val="00960DE5"/>
    <w:rsid w:val="009718EA"/>
    <w:rsid w:val="00996F37"/>
    <w:rsid w:val="009C344C"/>
    <w:rsid w:val="009C6D8D"/>
    <w:rsid w:val="009D0673"/>
    <w:rsid w:val="009D09B6"/>
    <w:rsid w:val="009D0BB4"/>
    <w:rsid w:val="009E6ED6"/>
    <w:rsid w:val="00A17272"/>
    <w:rsid w:val="00A20CFA"/>
    <w:rsid w:val="00A215A1"/>
    <w:rsid w:val="00A37E85"/>
    <w:rsid w:val="00A4205F"/>
    <w:rsid w:val="00A45F2B"/>
    <w:rsid w:val="00A46271"/>
    <w:rsid w:val="00A55C14"/>
    <w:rsid w:val="00A63A05"/>
    <w:rsid w:val="00A73135"/>
    <w:rsid w:val="00A8066B"/>
    <w:rsid w:val="00AB659C"/>
    <w:rsid w:val="00AD48A0"/>
    <w:rsid w:val="00AD509A"/>
    <w:rsid w:val="00B21106"/>
    <w:rsid w:val="00B21357"/>
    <w:rsid w:val="00B4214D"/>
    <w:rsid w:val="00B42C98"/>
    <w:rsid w:val="00B500F8"/>
    <w:rsid w:val="00B50C30"/>
    <w:rsid w:val="00B539BE"/>
    <w:rsid w:val="00B56C32"/>
    <w:rsid w:val="00B61C74"/>
    <w:rsid w:val="00B6591E"/>
    <w:rsid w:val="00B7766C"/>
    <w:rsid w:val="00B839FB"/>
    <w:rsid w:val="00B9012D"/>
    <w:rsid w:val="00B90887"/>
    <w:rsid w:val="00B94BC3"/>
    <w:rsid w:val="00BB2798"/>
    <w:rsid w:val="00BB5A41"/>
    <w:rsid w:val="00BB60C8"/>
    <w:rsid w:val="00BB61DA"/>
    <w:rsid w:val="00BB6DBA"/>
    <w:rsid w:val="00BE1A40"/>
    <w:rsid w:val="00BE1E16"/>
    <w:rsid w:val="00BE431A"/>
    <w:rsid w:val="00C01ABC"/>
    <w:rsid w:val="00C04EE1"/>
    <w:rsid w:val="00C116E2"/>
    <w:rsid w:val="00C30976"/>
    <w:rsid w:val="00C42DED"/>
    <w:rsid w:val="00C512DE"/>
    <w:rsid w:val="00C56BE2"/>
    <w:rsid w:val="00C61711"/>
    <w:rsid w:val="00C63714"/>
    <w:rsid w:val="00C70972"/>
    <w:rsid w:val="00C7453E"/>
    <w:rsid w:val="00C90B14"/>
    <w:rsid w:val="00C90BDD"/>
    <w:rsid w:val="00C9123A"/>
    <w:rsid w:val="00C93AFB"/>
    <w:rsid w:val="00CA3306"/>
    <w:rsid w:val="00CA35AB"/>
    <w:rsid w:val="00CA39B2"/>
    <w:rsid w:val="00CB1E99"/>
    <w:rsid w:val="00CB4CAB"/>
    <w:rsid w:val="00CC2614"/>
    <w:rsid w:val="00CD08BD"/>
    <w:rsid w:val="00CF25CC"/>
    <w:rsid w:val="00CF6911"/>
    <w:rsid w:val="00D03AF0"/>
    <w:rsid w:val="00D1593A"/>
    <w:rsid w:val="00D34E3B"/>
    <w:rsid w:val="00D46B08"/>
    <w:rsid w:val="00D47940"/>
    <w:rsid w:val="00D47EBF"/>
    <w:rsid w:val="00D516D4"/>
    <w:rsid w:val="00D612E4"/>
    <w:rsid w:val="00D64950"/>
    <w:rsid w:val="00D927AF"/>
    <w:rsid w:val="00D93259"/>
    <w:rsid w:val="00D9377B"/>
    <w:rsid w:val="00D96446"/>
    <w:rsid w:val="00D96CEF"/>
    <w:rsid w:val="00D971B9"/>
    <w:rsid w:val="00DA3A53"/>
    <w:rsid w:val="00DA3D8B"/>
    <w:rsid w:val="00DD17E8"/>
    <w:rsid w:val="00DE67B0"/>
    <w:rsid w:val="00E025B6"/>
    <w:rsid w:val="00E17713"/>
    <w:rsid w:val="00E213DD"/>
    <w:rsid w:val="00E235D5"/>
    <w:rsid w:val="00E26027"/>
    <w:rsid w:val="00E32C46"/>
    <w:rsid w:val="00E563BD"/>
    <w:rsid w:val="00E64614"/>
    <w:rsid w:val="00E72AB4"/>
    <w:rsid w:val="00E97670"/>
    <w:rsid w:val="00EB23B3"/>
    <w:rsid w:val="00EC2A7B"/>
    <w:rsid w:val="00ED1E8F"/>
    <w:rsid w:val="00EF0557"/>
    <w:rsid w:val="00EF1AB8"/>
    <w:rsid w:val="00EF297C"/>
    <w:rsid w:val="00EF69D4"/>
    <w:rsid w:val="00F00589"/>
    <w:rsid w:val="00F018E4"/>
    <w:rsid w:val="00F045FF"/>
    <w:rsid w:val="00F04EE0"/>
    <w:rsid w:val="00F204CE"/>
    <w:rsid w:val="00F20C18"/>
    <w:rsid w:val="00F222DE"/>
    <w:rsid w:val="00F40259"/>
    <w:rsid w:val="00F40C6D"/>
    <w:rsid w:val="00F5737E"/>
    <w:rsid w:val="00F6152C"/>
    <w:rsid w:val="00F67103"/>
    <w:rsid w:val="00F95309"/>
    <w:rsid w:val="00F95CB3"/>
    <w:rsid w:val="00FB06A6"/>
    <w:rsid w:val="00FB436A"/>
    <w:rsid w:val="00FB4FC5"/>
    <w:rsid w:val="00FB61ED"/>
    <w:rsid w:val="00FC0853"/>
    <w:rsid w:val="00FD2278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73EE7"/>
  <w15:chartTrackingRefBased/>
  <w15:docId w15:val="{B18695F3-B279-4CBC-AEF5-5CA70385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66B"/>
  </w:style>
  <w:style w:type="paragraph" w:styleId="Piedepgina">
    <w:name w:val="footer"/>
    <w:basedOn w:val="Normal"/>
    <w:link w:val="PiedepginaCar"/>
    <w:uiPriority w:val="99"/>
    <w:unhideWhenUsed/>
    <w:rsid w:val="00192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4/relationships/chartEx" Target="charts/chartEx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vitado\Desktop\ARY\PROGRAMA%202019%20%20ARY\BASE%20GENERAL%202019%20(2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vitado\Downloads\BASE%20GENERAL%202019%20(2)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an%20francisco\Desktop\2019\pagina%20web\DAGP%20Y%20DFEGIS%203er.%20TRIMESTRE%202019\Art122Fr02B-estadistic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vitado\Downloads\BASE%20GENERAL%202019%20(2)%20(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Invitado\Downloads\BASE%20GENERAL%202019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 sz="1000">
                <a:solidFill>
                  <a:sysClr val="windowText" lastClr="000000"/>
                </a:solidFill>
              </a:rPr>
              <a:t>PORCENTAJE</a:t>
            </a:r>
            <a:r>
              <a:rPr lang="es-MX" sz="1000" baseline="0">
                <a:solidFill>
                  <a:sysClr val="windowText" lastClr="000000"/>
                </a:solidFill>
              </a:rPr>
              <a:t> DE MUJERES Y HOMBRES PARTICIPANTES</a:t>
            </a:r>
            <a:endParaRPr lang="es-MX" sz="10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728464915336910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75"/>
      <c:rotY val="96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134764127935335"/>
          <c:y val="0"/>
          <c:w val="0.51967598076789079"/>
          <c:h val="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A5219F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03D-4590-81D4-BCA76A77774B}"/>
              </c:ext>
            </c:extLst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03D-4590-81D4-BCA76A77774B}"/>
              </c:ext>
            </c:extLst>
          </c:dPt>
          <c:dLbls>
            <c:dLbl>
              <c:idx val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503D-4590-81D4-BCA76A77774B}"/>
                </c:ext>
              </c:extLst>
            </c:dLbl>
            <c:dLbl>
              <c:idx val="1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503D-4590-81D4-BCA76A77774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'VALORES ESTADISTICOS'!$B$2:$B$3</c:f>
              <c:strCache>
                <c:ptCount val="2"/>
                <c:pt idx="0">
                  <c:v>HOMBRES </c:v>
                </c:pt>
                <c:pt idx="1">
                  <c:v>MUJERES </c:v>
                </c:pt>
              </c:strCache>
            </c:strRef>
          </c:cat>
          <c:val>
            <c:numRef>
              <c:f>'VALORES ESTADISTICOS'!$C$2:$C$3</c:f>
              <c:numCache>
                <c:formatCode>General</c:formatCode>
                <c:ptCount val="2"/>
                <c:pt idx="0">
                  <c:v>509</c:v>
                </c:pt>
                <c:pt idx="1">
                  <c:v>1922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3D-4590-81D4-BCA76A77774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100"/>
              <a:t>NIVEL DE ESTUDIOS </a:t>
            </a:r>
          </a:p>
        </c:rich>
      </c:tx>
      <c:layout>
        <c:manualLayout>
          <c:xMode val="edge"/>
          <c:yMode val="edge"/>
          <c:x val="0.56546572426478192"/>
          <c:y val="3.41333275996510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87F-40B7-8C09-B846EFE83871}"/>
              </c:ext>
            </c:extLst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87F-40B7-8C09-B846EFE83871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87F-40B7-8C09-B846EFE83871}"/>
              </c:ext>
            </c:extLst>
          </c:dPt>
          <c:dPt>
            <c:idx val="7"/>
            <c:invertIfNegative val="0"/>
            <c:bubble3D val="0"/>
            <c:spPr>
              <a:solidFill>
                <a:srgbClr val="FF33CC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87F-40B7-8C09-B846EFE83871}"/>
              </c:ext>
            </c:extLst>
          </c:dPt>
          <c:dPt>
            <c:idx val="9"/>
            <c:invertIfNegative val="0"/>
            <c:bubble3D val="0"/>
            <c:spPr>
              <a:solidFill>
                <a:srgbClr val="9933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87F-40B7-8C09-B846EFE83871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87F-40B7-8C09-B846EFE83871}"/>
              </c:ext>
            </c:extLst>
          </c:dPt>
          <c:dLbls>
            <c:dLbl>
              <c:idx val="8"/>
              <c:layout>
                <c:manualLayout>
                  <c:x val="-3.9412445491557653E-2"/>
                  <c:y val="-7.822130546333796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87F-40B7-8C09-B846EFE838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'[BASE GENERAL 2019 (2) (1).xlsx]Hoja2'!$M$9:$M$22</c:f>
              <c:strCache>
                <c:ptCount val="14"/>
                <c:pt idx="0">
                  <c:v>POSGRADO </c:v>
                </c:pt>
                <c:pt idx="1">
                  <c:v>POSGRADO TRUNCO </c:v>
                </c:pt>
                <c:pt idx="2">
                  <c:v>LICENCIATURA </c:v>
                </c:pt>
                <c:pt idx="3">
                  <c:v>BACHILLERATO </c:v>
                </c:pt>
                <c:pt idx="4">
                  <c:v>BACHILLERATO TRUNCO</c:v>
                </c:pt>
                <c:pt idx="5">
                  <c:v>CARRERA TECNICA</c:v>
                </c:pt>
                <c:pt idx="6">
                  <c:v>CARRERA TECNICA TRUNCA</c:v>
                </c:pt>
                <c:pt idx="7">
                  <c:v>SECUNDARIA </c:v>
                </c:pt>
                <c:pt idx="8">
                  <c:v>SECUNDARIA TRUNCA </c:v>
                </c:pt>
                <c:pt idx="9">
                  <c:v>PRIMARIA </c:v>
                </c:pt>
                <c:pt idx="10">
                  <c:v>PRIMARIA TRUNCA </c:v>
                </c:pt>
                <c:pt idx="11">
                  <c:v>SABE LEER Y ESCRIBIR </c:v>
                </c:pt>
                <c:pt idx="12">
                  <c:v>NO CONTESTARON </c:v>
                </c:pt>
                <c:pt idx="13">
                  <c:v>NULO </c:v>
                </c:pt>
              </c:strCache>
            </c:strRef>
          </c:cat>
          <c:val>
            <c:numRef>
              <c:f>'[BASE GENERAL 2019 (2) (1).xlsx]Hoja2'!$N$9:$N$22</c:f>
              <c:numCache>
                <c:formatCode>General</c:formatCode>
                <c:ptCount val="14"/>
                <c:pt idx="0">
                  <c:v>23</c:v>
                </c:pt>
                <c:pt idx="1">
                  <c:v>3</c:v>
                </c:pt>
                <c:pt idx="2">
                  <c:v>227</c:v>
                </c:pt>
                <c:pt idx="3">
                  <c:v>131</c:v>
                </c:pt>
                <c:pt idx="4">
                  <c:v>17</c:v>
                </c:pt>
                <c:pt idx="5">
                  <c:v>256</c:v>
                </c:pt>
                <c:pt idx="6">
                  <c:v>11</c:v>
                </c:pt>
                <c:pt idx="7">
                  <c:v>281</c:v>
                </c:pt>
                <c:pt idx="8">
                  <c:v>44</c:v>
                </c:pt>
                <c:pt idx="9">
                  <c:v>820</c:v>
                </c:pt>
                <c:pt idx="10">
                  <c:v>272</c:v>
                </c:pt>
                <c:pt idx="11">
                  <c:v>5</c:v>
                </c:pt>
                <c:pt idx="12">
                  <c:v>104</c:v>
                </c:pt>
                <c:pt idx="13">
                  <c:v>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87F-40B7-8C09-B846EFE8387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775059424"/>
        <c:axId val="775062048"/>
      </c:barChart>
      <c:catAx>
        <c:axId val="775059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75062048"/>
        <c:crosses val="autoZero"/>
        <c:auto val="1"/>
        <c:lblAlgn val="ctr"/>
        <c:lblOffset val="100"/>
        <c:noMultiLvlLbl val="0"/>
      </c:catAx>
      <c:valAx>
        <c:axId val="775062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75059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AB9-46C3-BAAF-789CCDA3F0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AB9-46C3-BAAF-789CCDA3F0D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Hoja5!$B$2:$B$3</c:f>
              <c:strCache>
                <c:ptCount val="2"/>
                <c:pt idx="0">
                  <c:v>Hablantes de Español</c:v>
                </c:pt>
                <c:pt idx="1">
                  <c:v>Hablantes de Lengua Indígena</c:v>
                </c:pt>
              </c:strCache>
            </c:strRef>
          </c:cat>
          <c:val>
            <c:numRef>
              <c:f>Hoja5!$C$2:$C$3</c:f>
              <c:numCache>
                <c:formatCode>General</c:formatCode>
                <c:ptCount val="2"/>
                <c:pt idx="0">
                  <c:v>2418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B9-46C3-BAAF-789CCDA3F0D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/>
              <a:t>índice</a:t>
            </a:r>
            <a:r>
              <a:rPr lang="es-MX" sz="1200" baseline="0"/>
              <a:t> de desarrollo social </a:t>
            </a:r>
            <a:endParaRPr lang="es-MX" sz="1200"/>
          </a:p>
        </c:rich>
      </c:tx>
      <c:layout>
        <c:manualLayout>
          <c:xMode val="edge"/>
          <c:yMode val="edge"/>
          <c:x val="0.28474300087489063"/>
          <c:y val="3.086419753086419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833333333333332E-2"/>
          <c:y val="0.22102747909199522"/>
          <c:w val="0.95277777777777772"/>
          <c:h val="0.5229783119215361"/>
        </c:manualLayout>
      </c:layout>
      <c:area3DChart>
        <c:grouping val="stacked"/>
        <c:varyColors val="0"/>
        <c:ser>
          <c:idx val="0"/>
          <c:order val="0"/>
          <c:spPr>
            <a:solidFill>
              <a:srgbClr val="CC66FF"/>
            </a:solidFill>
            <a:ln>
              <a:noFill/>
            </a:ln>
            <a:effectLst>
              <a:outerShdw blurRad="88900" sx="102000" sy="102000" algn="ctr" rotWithShape="0">
                <a:prstClr val="black">
                  <a:alpha val="1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27000" h="127000"/>
              <a:bevelB w="127000" h="127000"/>
            </a:sp3d>
          </c:spPr>
          <c:dPt>
            <c:idx val="0"/>
            <c:bubble3D val="0"/>
            <c:spPr>
              <a:solidFill>
                <a:srgbClr val="CC66F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3EC-477B-8B6D-760AFCD51F79}"/>
              </c:ext>
            </c:extLst>
          </c:dPt>
          <c:dPt>
            <c:idx val="1"/>
            <c:bubble3D val="0"/>
            <c:spPr>
              <a:solidFill>
                <a:srgbClr val="CC66F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3EC-477B-8B6D-760AFCD51F79}"/>
              </c:ext>
            </c:extLst>
          </c:dPt>
          <c:dPt>
            <c:idx val="2"/>
            <c:bubble3D val="0"/>
            <c:explosion val="2"/>
            <c:spPr>
              <a:solidFill>
                <a:srgbClr val="CC66F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93EC-477B-8B6D-760AFCD51F79}"/>
              </c:ext>
            </c:extLst>
          </c:dPt>
          <c:dPt>
            <c:idx val="3"/>
            <c:bubble3D val="0"/>
            <c:spPr>
              <a:solidFill>
                <a:srgbClr val="CC66F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93EC-477B-8B6D-760AFCD51F79}"/>
              </c:ext>
            </c:extLst>
          </c:dPt>
          <c:dPt>
            <c:idx val="4"/>
            <c:bubble3D val="0"/>
            <c:explosion val="8"/>
            <c:spPr>
              <a:solidFill>
                <a:srgbClr val="CC66F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93EC-477B-8B6D-760AFCD51F79}"/>
              </c:ext>
            </c:extLst>
          </c:dPt>
          <c:dPt>
            <c:idx val="5"/>
            <c:bubble3D val="0"/>
            <c:spPr>
              <a:solidFill>
                <a:srgbClr val="CC66F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93EC-477B-8B6D-760AFCD51F79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EC-477B-8B6D-760AFCD51F7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D8A7530-A828-41D5-A767-B4C00B303CBD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/>
                      <a:t>[VALOR]</a:t>
                    </a:fld>
                    <a:endParaRPr lang="es-MX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3EC-477B-8B6D-760AFCD51F7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0C4DF21-EDB6-4C1D-A6BA-79E358E6A497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/>
                      <a:t>[VALOR]</a:t>
                    </a:fld>
                    <a:endParaRPr lang="es-MX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3EC-477B-8B6D-760AFCD51F7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1DBA84F8-730E-4FD5-B77F-0E3EA066749B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/>
                      <a:t>[VALOR]</a:t>
                    </a:fld>
                    <a:endParaRPr lang="es-MX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3EC-477B-8B6D-760AFCD51F7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1353B794-FD3F-4534-888A-E4D393128F0B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/>
                      <a:t>[VALOR]</a:t>
                    </a:fld>
                    <a:endParaRPr lang="es-MX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3EC-477B-8B6D-760AFCD51F79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FA30F104-CC67-412C-8136-45C93F3DC3D5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/>
                      <a:t>[VALOR]</a:t>
                    </a:fld>
                    <a:endParaRPr 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93EC-477B-8B6D-760AFCD51F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'[BASE GENERAL 2019 (2) (1).xlsx]Hoja2'!$F$4:$F$9</c:f>
              <c:strCache>
                <c:ptCount val="6"/>
                <c:pt idx="0">
                  <c:v>IDS </c:v>
                </c:pt>
                <c:pt idx="1">
                  <c:v>MUY ALTO </c:v>
                </c:pt>
                <c:pt idx="2">
                  <c:v>ALTO </c:v>
                </c:pt>
                <c:pt idx="3">
                  <c:v>MEDIO</c:v>
                </c:pt>
                <c:pt idx="4">
                  <c:v>BAJO</c:v>
                </c:pt>
                <c:pt idx="5">
                  <c:v>MUY BAJO </c:v>
                </c:pt>
              </c:strCache>
            </c:strRef>
          </c:cat>
          <c:val>
            <c:numRef>
              <c:f>'[BASE GENERAL 2019 (2) (1).xlsx]Hoja2'!$G$4:$G$9</c:f>
              <c:numCache>
                <c:formatCode>General</c:formatCode>
                <c:ptCount val="6"/>
                <c:pt idx="1">
                  <c:v>51</c:v>
                </c:pt>
                <c:pt idx="2">
                  <c:v>407</c:v>
                </c:pt>
                <c:pt idx="3">
                  <c:v>403</c:v>
                </c:pt>
                <c:pt idx="4">
                  <c:v>1204</c:v>
                </c:pt>
                <c:pt idx="5">
                  <c:v>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3EC-477B-8B6D-760AFCD51F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998472"/>
        <c:axId val="212995848"/>
        <c:axId val="0"/>
      </c:area3DChart>
      <c:catAx>
        <c:axId val="212998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12995848"/>
        <c:crosses val="autoZero"/>
        <c:auto val="1"/>
        <c:lblAlgn val="ctr"/>
        <c:lblOffset val="100"/>
        <c:noMultiLvlLbl val="0"/>
      </c:catAx>
      <c:valAx>
        <c:axId val="212995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12998472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 dir="row">'VALORES ESTADISTICOS'!$I$5:$I$10</cx:f>
        <cx:lvl ptCount="6">
          <cx:pt idx="0">MEXICANA (O)</cx:pt>
          <cx:pt idx="1">ITALIANA (O)</cx:pt>
          <cx:pt idx="2">SALVADOREÑA (O)</cx:pt>
          <cx:pt idx="3">ESTADIUNIDENSE </cx:pt>
          <cx:pt idx="4">CHILENA (O)</cx:pt>
          <cx:pt idx="5">MEXICO / ALEMANA </cx:pt>
        </cx:lvl>
      </cx:strDim>
      <cx:numDim type="val">
        <cx:f dir="row">'VALORES ESTADISTICOS'!$J$5:$J$10</cx:f>
        <cx:lvl ptCount="6" formatCode="General">
          <cx:pt idx="0">2426</cx:pt>
          <cx:pt idx="1">1</cx:pt>
          <cx:pt idx="2">1</cx:pt>
          <cx:pt idx="3">1</cx:pt>
          <cx:pt idx="4">1</cx:pt>
          <cx:pt idx="5">1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pPr algn="ctr" rtl="0">
              <a:defRPr sz="1000" b="1" i="0" u="none" strike="noStrike" kern="1200" cap="none" spc="2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kumimoji="0" lang="es-MX" sz="1000" b="1" i="0" u="none" strike="noStrike" kern="1200" cap="none" spc="20" normalizeH="0" baseline="0" noProof="0">
                <a:ln>
                  <a:noFill/>
                </a:ln>
                <a:solidFill>
                  <a:sysClr val="windowText" lastClr="000000">
                    <a:lumMod val="50000"/>
                    <a:lumOff val="50000"/>
                  </a:sysClr>
                </a:solidFill>
                <a:effectLst/>
                <a:uLnTx/>
                <a:uFillTx/>
                <a:latin typeface="Calibri" panose="020F0502020204030204"/>
              </a:rPr>
              <a:t>NACIONALIDADES DE LOS BENEFICIARIOS</a:t>
            </a:r>
            <a:endParaRPr lang="es-MX" sz="1000" b="1"/>
          </a:p>
        </cx:rich>
      </cx:tx>
    </cx:title>
    <cx:plotArea>
      <cx:plotAreaRegion>
        <cx:series layoutId="clusteredColumn" uniqueId="{923B43F2-F39E-41FB-946D-679BA0FDAD5F}" formatIdx="0">
          <cx:spPr>
            <a:solidFill>
              <a:srgbClr val="FF0066"/>
            </a:solidFill>
          </cx:spPr>
          <cx:dataLabels pos="inEnd">
            <cx:visibility seriesName="0" categoryName="0" value="1"/>
          </cx:dataLabels>
          <cx:dataId val="0"/>
          <cx:layoutPr>
            <cx:aggregation/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70">
  <cs:axisTitle>
    <cs:lnRef idx="0"/>
    <cs:fillRef idx="0"/>
    <cs:effectRef idx="0"/>
    <cs:fontRef idx="minor">
      <a:schemeClr val="lt1">
        <a:lumMod val="85000"/>
      </a:schemeClr>
    </cs:fontRef>
    <cs:defRPr sz="900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/>
  </cs:dataLabel>
  <cs:dataLabelCallout>
    <cs:lnRef idx="0"/>
    <cs:fillRef idx="0"/>
    <cs:effectRef idx="0"/>
    <cs:fontRef idx="minor">
      <a:schemeClr val="lt1">
        <a:lumMod val="85000"/>
      </a:schemeClr>
    </cs:fontRef>
    <cs:spPr>
      <a:solidFill>
        <a:schemeClr val="lt1"/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lt1"/>
    </cs:fontRef>
    <cs:spPr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  <a:ln w="9525">
        <a:solidFill>
          <a:schemeClr val="tx1"/>
        </a:solidFill>
      </a:ln>
      <a:effectLst>
        <a:outerShdw blurRad="57150" dist="19050" dir="5400000" algn="ctr" rotWithShape="0">
          <a:srgbClr val="000000">
            <a:alpha val="63000"/>
          </a:srgb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lt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lt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lt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lt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/>
  </cs:dataTable>
  <cs:downBar>
    <cs:lnRef idx="0"/>
    <cs:fillRef idx="0"/>
    <cs:effectRef idx="0"/>
    <cs:fontRef idx="minor">
      <a:schemeClr val="lt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lt1"/>
    </cs:fontRef>
  </cs:dropLine>
  <cs:errorBar>
    <cs:lnRef idx="0"/>
    <cs:fillRef idx="0"/>
    <cs:effectRef idx="0"/>
    <cs:fontRef idx="minor">
      <a:schemeClr val="lt1"/>
    </cs:fontRef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10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</cs:hiLoLine>
  <cs:leaderLine>
    <cs:lnRef idx="0"/>
    <cs:fillRef idx="0"/>
    <cs:effectRef idx="0"/>
    <cs:fontRef idx="minor">
      <a:schemeClr val="lt1"/>
    </cs:fontRef>
  </cs:leaderLine>
  <cs:legend>
    <cs:lnRef idx="0"/>
    <cs:fillRef idx="0"/>
    <cs:effectRef idx="0"/>
    <cs:fontRef idx="minor">
      <a:schemeClr val="lt1">
        <a:lumMod val="85000"/>
      </a:schemeClr>
    </cs:fontRef>
    <cs:defRPr sz="9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lt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9F66-A69A-4606-829B-4EA1BD3C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juan francisco</cp:lastModifiedBy>
  <cp:revision>3</cp:revision>
  <dcterms:created xsi:type="dcterms:W3CDTF">2020-09-02T00:36:00Z</dcterms:created>
  <dcterms:modified xsi:type="dcterms:W3CDTF">2020-09-03T01:01:00Z</dcterms:modified>
</cp:coreProperties>
</file>